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6418E5">
        <w:rPr>
          <w:sz w:val="22"/>
          <w:szCs w:val="22"/>
        </w:rPr>
        <w:t xml:space="preserve">шестьсот девяносто девять </w:t>
      </w:r>
      <w:r w:rsidR="00D337D5">
        <w:rPr>
          <w:sz w:val="22"/>
          <w:szCs w:val="22"/>
        </w:rPr>
        <w:t>тысяч</w:t>
      </w:r>
      <w:r w:rsidR="00947EA7">
        <w:rPr>
          <w:sz w:val="22"/>
          <w:szCs w:val="22"/>
        </w:rPr>
        <w:t xml:space="preserve"> сто пятьдесят три </w:t>
      </w:r>
      <w:r w:rsidR="00D337D5">
        <w:rPr>
          <w:sz w:val="22"/>
          <w:szCs w:val="22"/>
        </w:rPr>
        <w:t>рубл</w:t>
      </w:r>
      <w:r w:rsidR="00947EA7">
        <w:rPr>
          <w:sz w:val="22"/>
          <w:szCs w:val="22"/>
        </w:rPr>
        <w:t>я</w:t>
      </w:r>
      <w:r w:rsidR="00D337D5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</w:t>
      </w:r>
      <w:bookmarkStart w:id="0" w:name="_GoBack"/>
      <w:bookmarkEnd w:id="0"/>
      <w:r w:rsidRPr="0073671F">
        <w:rPr>
          <w:sz w:val="22"/>
          <w:szCs w:val="22"/>
        </w:rPr>
        <w:t xml:space="preserve">награждения Организатора торгов составляет </w:t>
      </w:r>
      <w:r w:rsidR="00947EA7">
        <w:rPr>
          <w:color w:val="000000"/>
        </w:rPr>
        <w:t>17479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E47A05">
        <w:rPr>
          <w:color w:val="000000"/>
        </w:rPr>
        <w:t>с</w:t>
      </w:r>
      <w:r w:rsidR="00947EA7">
        <w:rPr>
          <w:color w:val="000000"/>
        </w:rPr>
        <w:t>емнадцать</w:t>
      </w:r>
      <w:r w:rsidR="00D337D5">
        <w:rPr>
          <w:color w:val="000000"/>
        </w:rPr>
        <w:t xml:space="preserve"> тысяч </w:t>
      </w:r>
      <w:r w:rsidR="00947EA7">
        <w:rPr>
          <w:color w:val="000000"/>
        </w:rPr>
        <w:t>четыреста</w:t>
      </w:r>
      <w:r w:rsidR="00E47A05">
        <w:rPr>
          <w:color w:val="000000"/>
        </w:rPr>
        <w:t xml:space="preserve"> семьдесят </w:t>
      </w:r>
      <w:r w:rsidR="00947EA7">
        <w:rPr>
          <w:color w:val="000000"/>
        </w:rPr>
        <w:t>девять</w:t>
      </w:r>
      <w:r w:rsidR="00D337D5">
        <w:rPr>
          <w:color w:val="000000"/>
        </w:rPr>
        <w:t xml:space="preserve">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6418E5">
        <w:trPr>
          <w:trHeight w:val="289"/>
        </w:trPr>
        <w:tc>
          <w:tcPr>
            <w:tcW w:w="5040" w:type="dxa"/>
          </w:tcPr>
          <w:p w:rsidR="00564702" w:rsidRPr="0073671F" w:rsidRDefault="00564702" w:rsidP="006418E5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6418E5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6418E5">
        <w:trPr>
          <w:trHeight w:val="1803"/>
        </w:trPr>
        <w:tc>
          <w:tcPr>
            <w:tcW w:w="5040" w:type="dxa"/>
          </w:tcPr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6418E5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6418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6418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6418E5"/>
    <w:rsid w:val="00716BDD"/>
    <w:rsid w:val="008A26EF"/>
    <w:rsid w:val="00944FE9"/>
    <w:rsid w:val="00947EA7"/>
    <w:rsid w:val="00AC6984"/>
    <w:rsid w:val="00C1701A"/>
    <w:rsid w:val="00D337D5"/>
    <w:rsid w:val="00E47A05"/>
    <w:rsid w:val="00F7294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866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CA74-1555-4BE9-B9FD-EAAD6EE0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2018-03-28T15:58:00Z</dcterms:created>
  <dcterms:modified xsi:type="dcterms:W3CDTF">2018-03-28T15:58:00Z</dcterms:modified>
</cp:coreProperties>
</file>