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D337D5">
        <w:rPr>
          <w:sz w:val="22"/>
          <w:szCs w:val="22"/>
        </w:rPr>
        <w:t>один</w:t>
      </w:r>
      <w:r w:rsidR="00F72940">
        <w:rPr>
          <w:sz w:val="22"/>
          <w:szCs w:val="22"/>
        </w:rPr>
        <w:t xml:space="preserve"> милли</w:t>
      </w:r>
      <w:r w:rsidR="00D337D5">
        <w:rPr>
          <w:sz w:val="22"/>
          <w:szCs w:val="22"/>
        </w:rPr>
        <w:t>он семьсот тысяч рублей.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D337D5">
        <w:rPr>
          <w:color w:val="000000"/>
        </w:rPr>
        <w:t>42500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D337D5">
        <w:rPr>
          <w:color w:val="000000"/>
        </w:rPr>
        <w:t>сорок две тысячи пятьсот 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</w:t>
      </w:r>
      <w:bookmarkStart w:id="0" w:name="_GoBack"/>
      <w:bookmarkEnd w:id="0"/>
      <w:r w:rsidRPr="0073671F">
        <w:rPr>
          <w:sz w:val="22"/>
          <w:szCs w:val="22"/>
        </w:rPr>
        <w:t xml:space="preserve">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lastRenderedPageBreak/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lastRenderedPageBreak/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564702"/>
    <w:rsid w:val="00716BDD"/>
    <w:rsid w:val="008A26EF"/>
    <w:rsid w:val="00944FE9"/>
    <w:rsid w:val="00C1701A"/>
    <w:rsid w:val="00D337D5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866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8970-C0CE-4BD0-BD67-DCADDA18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2018-03-28T15:41:00Z</dcterms:created>
  <dcterms:modified xsi:type="dcterms:W3CDTF">2018-03-28T15:41:00Z</dcterms:modified>
</cp:coreProperties>
</file>