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73EE3F21"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013492">
        <w:rPr>
          <w:rFonts w:ascii="Times New Roman" w:hAnsi="Times New Roman" w:cs="Times New Roman"/>
          <w:b/>
        </w:rPr>
        <w:t>ые</w:t>
      </w:r>
      <w:r w:rsidR="00302324">
        <w:rPr>
          <w:rFonts w:ascii="Times New Roman" w:hAnsi="Times New Roman" w:cs="Times New Roman"/>
          <w:b/>
        </w:rPr>
        <w:t xml:space="preserve"> помещени</w:t>
      </w:r>
      <w:r w:rsidR="00013492">
        <w:rPr>
          <w:rFonts w:ascii="Times New Roman" w:hAnsi="Times New Roman" w:cs="Times New Roman"/>
          <w:b/>
        </w:rPr>
        <w:t>я</w:t>
      </w:r>
      <w:r w:rsidR="00302324">
        <w:rPr>
          <w:rFonts w:ascii="Times New Roman" w:hAnsi="Times New Roman" w:cs="Times New Roman"/>
          <w:b/>
        </w:rPr>
        <w:t xml:space="preserve"> №</w:t>
      </w:r>
      <w:r w:rsidR="006C7A4D">
        <w:rPr>
          <w:rFonts w:ascii="Times New Roman" w:hAnsi="Times New Roman" w:cs="Times New Roman"/>
          <w:b/>
        </w:rPr>
        <w:t>13</w:t>
      </w:r>
      <w:r w:rsidR="00302324">
        <w:rPr>
          <w:rFonts w:ascii="Times New Roman" w:hAnsi="Times New Roman" w:cs="Times New Roman"/>
          <w:b/>
        </w:rPr>
        <w:t xml:space="preserve"> (</w:t>
      </w:r>
      <w:r w:rsidR="00B674B3">
        <w:rPr>
          <w:rFonts w:ascii="Times New Roman" w:hAnsi="Times New Roman" w:cs="Times New Roman"/>
          <w:b/>
        </w:rPr>
        <w:t>кафе</w:t>
      </w:r>
      <w:r w:rsidR="00302324">
        <w:rPr>
          <w:rFonts w:ascii="Times New Roman" w:hAnsi="Times New Roman" w:cs="Times New Roman"/>
          <w:b/>
        </w:rPr>
        <w:t>),</w:t>
      </w:r>
      <w:r w:rsidR="00765D81">
        <w:rPr>
          <w:rFonts w:ascii="Times New Roman" w:hAnsi="Times New Roman" w:cs="Times New Roman"/>
          <w:b/>
        </w:rPr>
        <w:t xml:space="preserve"> </w:t>
      </w:r>
      <w:r w:rsidR="006C7A4D">
        <w:rPr>
          <w:rFonts w:ascii="Times New Roman" w:hAnsi="Times New Roman" w:cs="Times New Roman"/>
          <w:b/>
        </w:rPr>
        <w:t xml:space="preserve">               №14 (моечная), №15 (туалет), №16 (коридор), №17 (кухня), </w:t>
      </w:r>
      <w:r w:rsidR="00CC7ADA">
        <w:rPr>
          <w:rFonts w:ascii="Times New Roman" w:hAnsi="Times New Roman" w:cs="Times New Roman"/>
          <w:b/>
        </w:rPr>
        <w:t xml:space="preserve">общей площадью </w:t>
      </w:r>
      <w:r w:rsidR="006C7A4D">
        <w:rPr>
          <w:rFonts w:ascii="Times New Roman" w:hAnsi="Times New Roman" w:cs="Times New Roman"/>
          <w:b/>
        </w:rPr>
        <w:t xml:space="preserve">26,7 </w:t>
      </w:r>
      <w:r w:rsidR="00CC7ADA">
        <w:rPr>
          <w:rFonts w:ascii="Times New Roman" w:hAnsi="Times New Roman" w:cs="Times New Roman"/>
          <w:b/>
        </w:rPr>
        <w:t>кв.м.,</w:t>
      </w:r>
      <w:r w:rsidR="002145B8">
        <w:rPr>
          <w:rFonts w:ascii="Times New Roman" w:hAnsi="Times New Roman" w:cs="Times New Roman"/>
          <w:b/>
        </w:rPr>
        <w:t xml:space="preserve"> </w:t>
      </w:r>
      <w:r w:rsidR="00302324">
        <w:rPr>
          <w:rFonts w:ascii="Times New Roman" w:hAnsi="Times New Roman" w:cs="Times New Roman"/>
          <w:b/>
        </w:rPr>
        <w:t>расположенн</w:t>
      </w:r>
      <w:r w:rsidR="006C7A4D">
        <w:rPr>
          <w:rFonts w:ascii="Times New Roman" w:hAnsi="Times New Roman" w:cs="Times New Roman"/>
          <w:b/>
        </w:rPr>
        <w:t>ые</w:t>
      </w:r>
      <w:r w:rsidR="00302324">
        <w:rPr>
          <w:rFonts w:ascii="Times New Roman" w:hAnsi="Times New Roman" w:cs="Times New Roman"/>
          <w:b/>
        </w:rPr>
        <w:t xml:space="preserve"> на </w:t>
      </w:r>
      <w:r w:rsidR="00B674B3">
        <w:rPr>
          <w:rFonts w:ascii="Times New Roman" w:hAnsi="Times New Roman" w:cs="Times New Roman"/>
          <w:b/>
        </w:rPr>
        <w:t>первом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здания лит. А,</w:t>
      </w:r>
      <w:r w:rsidR="00F9474C">
        <w:rPr>
          <w:rFonts w:ascii="Times New Roman" w:hAnsi="Times New Roman" w:cs="Times New Roman"/>
          <w:b/>
        </w:rPr>
        <w:t xml:space="preserve"> а1,а2, </w:t>
      </w:r>
      <w:r w:rsidR="008C5D2C">
        <w:rPr>
          <w:rFonts w:ascii="Times New Roman" w:hAnsi="Times New Roman" w:cs="Times New Roman"/>
          <w:b/>
        </w:rPr>
        <w:t>кадастровый номер 90:</w:t>
      </w:r>
      <w:r w:rsidR="00F9474C">
        <w:rPr>
          <w:rFonts w:ascii="Times New Roman" w:hAnsi="Times New Roman" w:cs="Times New Roman"/>
          <w:b/>
        </w:rPr>
        <w:t>18</w:t>
      </w:r>
      <w:r w:rsidR="008C5D2C">
        <w:rPr>
          <w:rFonts w:ascii="Times New Roman" w:hAnsi="Times New Roman" w:cs="Times New Roman"/>
          <w:b/>
        </w:rPr>
        <w:t>:</w:t>
      </w:r>
      <w:r w:rsidR="00F9474C">
        <w:rPr>
          <w:rFonts w:ascii="Times New Roman" w:hAnsi="Times New Roman" w:cs="Times New Roman"/>
          <w:b/>
        </w:rPr>
        <w:t>010145</w:t>
      </w:r>
      <w:r w:rsidR="008C5D2C">
        <w:rPr>
          <w:rFonts w:ascii="Times New Roman" w:hAnsi="Times New Roman" w:cs="Times New Roman"/>
          <w:b/>
        </w:rPr>
        <w:t>:</w:t>
      </w:r>
      <w:r w:rsidR="00F9474C">
        <w:rPr>
          <w:rFonts w:ascii="Times New Roman" w:hAnsi="Times New Roman" w:cs="Times New Roman"/>
          <w:b/>
        </w:rPr>
        <w:t>36</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 xml:space="preserve">г. </w:t>
      </w:r>
      <w:r w:rsidR="00F9474C">
        <w:rPr>
          <w:rFonts w:ascii="Times New Roman" w:hAnsi="Times New Roman" w:cs="Times New Roman"/>
          <w:b/>
        </w:rPr>
        <w:t>Евпатория</w:t>
      </w:r>
      <w:r w:rsidR="002145B8">
        <w:rPr>
          <w:rFonts w:ascii="Times New Roman" w:hAnsi="Times New Roman" w:cs="Times New Roman"/>
          <w:b/>
        </w:rPr>
        <w:t xml:space="preserve">, ул. </w:t>
      </w:r>
      <w:r w:rsidR="00F9474C">
        <w:rPr>
          <w:rFonts w:ascii="Times New Roman" w:hAnsi="Times New Roman" w:cs="Times New Roman"/>
          <w:b/>
        </w:rPr>
        <w:t>Интернациональная</w:t>
      </w:r>
      <w:r w:rsidR="002145B8">
        <w:rPr>
          <w:rFonts w:ascii="Times New Roman" w:hAnsi="Times New Roman" w:cs="Times New Roman"/>
          <w:b/>
        </w:rPr>
        <w:t xml:space="preserve">, </w:t>
      </w:r>
      <w:r w:rsidR="00A33B85">
        <w:rPr>
          <w:rFonts w:ascii="Times New Roman" w:hAnsi="Times New Roman" w:cs="Times New Roman"/>
          <w:b/>
        </w:rPr>
        <w:t xml:space="preserve">д. </w:t>
      </w:r>
      <w:r w:rsidR="00F9474C">
        <w:rPr>
          <w:rFonts w:ascii="Times New Roman" w:hAnsi="Times New Roman" w:cs="Times New Roman"/>
          <w:b/>
        </w:rPr>
        <w:t>124</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79B5BBE1" w14:textId="72726206"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952969">
        <w:rPr>
          <w:rFonts w:ascii="Times New Roman" w:eastAsia="Arial" w:hAnsi="Times New Roman" w:cs="Times New Roman"/>
          <w:lang w:eastAsia="ar-SA"/>
        </w:rPr>
        <w:t>17</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01</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803EBD">
        <w:rPr>
          <w:rFonts w:ascii="Times New Roman" w:eastAsia="Arial" w:hAnsi="Times New Roman" w:cs="Times New Roman"/>
          <w:lang w:eastAsia="ar-SA"/>
        </w:rPr>
        <w:t>08</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72AF25F1" w:rsidR="00695B85" w:rsidRPr="009B7CF7"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9B7CF7">
              <w:rPr>
                <w:rFonts w:ascii="Times New Roman" w:eastAsia="Times New Roman" w:hAnsi="Times New Roman" w:cs="Times New Roman"/>
                <w:bCs/>
                <w:sz w:val="20"/>
                <w:szCs w:val="20"/>
              </w:rPr>
              <w:t>Лот №1</w:t>
            </w:r>
            <w:r w:rsidR="009B7CF7" w:rsidRPr="009B7CF7">
              <w:rPr>
                <w:rFonts w:ascii="Times New Roman" w:eastAsia="Times New Roman" w:hAnsi="Times New Roman" w:cs="Times New Roman"/>
                <w:bCs/>
                <w:sz w:val="20"/>
                <w:szCs w:val="20"/>
              </w:rPr>
              <w:t xml:space="preserve"> </w:t>
            </w:r>
            <w:r w:rsidR="00277861" w:rsidRPr="009B7CF7">
              <w:rPr>
                <w:rFonts w:ascii="Times New Roman" w:hAnsi="Times New Roman" w:cs="Times New Roman"/>
                <w:bCs/>
                <w:sz w:val="20"/>
                <w:szCs w:val="20"/>
              </w:rPr>
              <w:t>нежилые помещения №13 (кафе), №14 (моечная), №15 (туалет), №16 (коридор), №17 (кухня), общей площадью 26,7 кв.м., расположенные на первом этаже нежилого здания лит. А, а1,а2, кадастровый номер 90:18:010145:36, по адресу: Республика Крым, г. Евпатория, ул. Интернациональная, д. 124, находящееся на балансе ГУП РК «Крымавтотранс»</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4CB1616"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4E1B14D8" w14:textId="029F1EBE" w:rsidR="00001D88" w:rsidRDefault="00001D88"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Материал стен: стеновой камень ракушечник, крыша кровля: многоскатная, металлочерепица, полы: плитка, окна: металлопластиковые, двери: металлопластиковые, отделка внутренняя: шпаклевка с окраской, керамическая плитка.</w:t>
            </w:r>
            <w:r w:rsidR="00061C2D">
              <w:rPr>
                <w:rFonts w:ascii="Times New Roman" w:hAnsi="Times New Roman" w:cs="Times New Roman"/>
                <w:bCs/>
                <w:color w:val="000000"/>
                <w:sz w:val="20"/>
                <w:szCs w:val="20"/>
              </w:rPr>
              <w:t xml:space="preserve"> Состояние-хорошее. Наружная отделка-окраска водными составами по штукатурке. Коммуникации: электроснабжение, водоснабжение, канализация, отопление, вентиляция. Техническое состояние несущих конструкций:хорошее. </w:t>
            </w:r>
          </w:p>
          <w:p w14:paraId="009032DA" w14:textId="592EEBF0" w:rsidR="00521457" w:rsidRPr="00704260" w:rsidRDefault="00B12804"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4512535C" w:rsidR="005207DF" w:rsidRPr="00047CFE" w:rsidRDefault="00A21D00"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С целью </w:t>
            </w:r>
            <w:r w:rsidR="004E31A9">
              <w:rPr>
                <w:rFonts w:ascii="Times New Roman" w:eastAsia="Times New Roman" w:hAnsi="Times New Roman" w:cs="Times New Roman"/>
                <w:bCs/>
                <w:iCs/>
                <w:sz w:val="20"/>
                <w:szCs w:val="20"/>
              </w:rPr>
              <w:t>организации общественного питания</w:t>
            </w:r>
            <w:r w:rsidR="00016B73">
              <w:rPr>
                <w:rFonts w:ascii="Times New Roman" w:eastAsia="Times New Roman" w:hAnsi="Times New Roman" w:cs="Times New Roman"/>
                <w:bCs/>
                <w:iCs/>
                <w:sz w:val="20"/>
                <w:szCs w:val="20"/>
              </w:rPr>
              <w:t>.</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230F5F44"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169B65A5"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774B4F">
              <w:rPr>
                <w:rFonts w:ascii="Times New Roman" w:hAnsi="Times New Roman" w:cs="Times New Roman"/>
                <w:sz w:val="20"/>
                <w:szCs w:val="20"/>
              </w:rPr>
              <w:t>100800</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C3728B">
              <w:rPr>
                <w:rFonts w:ascii="Times New Roman" w:eastAsia="Times New Roman" w:hAnsi="Times New Roman" w:cs="Times New Roman"/>
                <w:sz w:val="20"/>
                <w:szCs w:val="20"/>
              </w:rPr>
              <w:t xml:space="preserve">сто тысяч </w:t>
            </w:r>
            <w:r w:rsidR="00774B4F">
              <w:rPr>
                <w:rFonts w:ascii="Times New Roman" w:eastAsia="Times New Roman" w:hAnsi="Times New Roman" w:cs="Times New Roman"/>
                <w:sz w:val="20"/>
                <w:szCs w:val="20"/>
              </w:rPr>
              <w:t>восемьсот</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29873B47"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774B4F">
              <w:rPr>
                <w:rFonts w:ascii="Times New Roman" w:hAnsi="Times New Roman" w:cs="Times New Roman"/>
                <w:b/>
                <w:i/>
                <w:sz w:val="20"/>
                <w:szCs w:val="20"/>
              </w:rPr>
              <w:t>9</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F474A0">
              <w:rPr>
                <w:rFonts w:ascii="Times New Roman" w:hAnsi="Times New Roman" w:cs="Times New Roman"/>
                <w:b/>
                <w:i/>
                <w:sz w:val="20"/>
                <w:szCs w:val="20"/>
              </w:rPr>
              <w:t>я</w:t>
            </w:r>
            <w:r w:rsidR="00774B4F">
              <w:rPr>
                <w:rFonts w:ascii="Times New Roman" w:hAnsi="Times New Roman" w:cs="Times New Roman"/>
                <w:b/>
                <w:i/>
                <w:sz w:val="20"/>
                <w:szCs w:val="20"/>
              </w:rPr>
              <w:t>нваря</w:t>
            </w:r>
            <w:r w:rsidR="00B31371">
              <w:rPr>
                <w:rFonts w:ascii="Times New Roman" w:hAnsi="Times New Roman" w:cs="Times New Roman"/>
                <w:b/>
                <w:i/>
                <w:sz w:val="20"/>
                <w:szCs w:val="20"/>
              </w:rPr>
              <w:t xml:space="preserve"> 20</w:t>
            </w:r>
            <w:r w:rsidR="00774B4F">
              <w:rPr>
                <w:rFonts w:ascii="Times New Roman" w:hAnsi="Times New Roman" w:cs="Times New Roman"/>
                <w:b/>
                <w:i/>
                <w:sz w:val="20"/>
                <w:szCs w:val="20"/>
              </w:rPr>
              <w:t>20</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415B2D64"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E71E80">
              <w:rPr>
                <w:rFonts w:ascii="Times New Roman" w:hAnsi="Times New Roman" w:cs="Times New Roman"/>
                <w:b/>
                <w:i/>
                <w:sz w:val="20"/>
                <w:szCs w:val="20"/>
              </w:rPr>
              <w:t>18</w:t>
            </w:r>
            <w:r w:rsidR="00680616">
              <w:rPr>
                <w:rFonts w:ascii="Times New Roman" w:hAnsi="Times New Roman" w:cs="Times New Roman"/>
                <w:b/>
                <w:i/>
                <w:sz w:val="20"/>
                <w:szCs w:val="20"/>
              </w:rPr>
              <w:t xml:space="preserve">» </w:t>
            </w:r>
            <w:r w:rsidR="00E71E80">
              <w:rPr>
                <w:rFonts w:ascii="Times New Roman" w:hAnsi="Times New Roman" w:cs="Times New Roman"/>
                <w:b/>
                <w:i/>
                <w:sz w:val="20"/>
                <w:szCs w:val="20"/>
              </w:rPr>
              <w:t>февраля</w:t>
            </w:r>
            <w:r w:rsidR="00047CFE">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3245EB35"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E71E80">
              <w:rPr>
                <w:rFonts w:ascii="Times New Roman" w:hAnsi="Times New Roman" w:cs="Times New Roman"/>
                <w:b/>
                <w:i/>
                <w:sz w:val="20"/>
                <w:szCs w:val="20"/>
              </w:rPr>
              <w:t>29</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E71E80">
              <w:rPr>
                <w:rFonts w:ascii="Times New Roman" w:hAnsi="Times New Roman" w:cs="Times New Roman"/>
                <w:b/>
                <w:i/>
                <w:sz w:val="20"/>
                <w:szCs w:val="20"/>
              </w:rPr>
              <w:t>января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FC3527">
              <w:rPr>
                <w:rFonts w:ascii="Times New Roman" w:hAnsi="Times New Roman" w:cs="Times New Roman"/>
                <w:b/>
                <w:i/>
                <w:sz w:val="20"/>
                <w:szCs w:val="20"/>
              </w:rPr>
              <w:t>13</w:t>
            </w:r>
            <w:r w:rsidR="00AD26D8">
              <w:rPr>
                <w:rFonts w:ascii="Times New Roman" w:hAnsi="Times New Roman" w:cs="Times New Roman"/>
                <w:b/>
                <w:i/>
                <w:sz w:val="20"/>
                <w:szCs w:val="20"/>
              </w:rPr>
              <w:t xml:space="preserve">» </w:t>
            </w:r>
            <w:r w:rsidR="00E71E80">
              <w:rPr>
                <w:rFonts w:ascii="Times New Roman" w:hAnsi="Times New Roman" w:cs="Times New Roman"/>
                <w:b/>
                <w:i/>
                <w:sz w:val="20"/>
                <w:szCs w:val="20"/>
              </w:rPr>
              <w:t>февраля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3F47F334"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52189B">
              <w:rPr>
                <w:rFonts w:ascii="Times New Roman" w:hAnsi="Times New Roman" w:cs="Times New Roman"/>
                <w:b/>
                <w:i/>
                <w:sz w:val="20"/>
                <w:szCs w:val="20"/>
              </w:rPr>
              <w:t>18</w:t>
            </w:r>
            <w:r w:rsidRPr="00670F84">
              <w:rPr>
                <w:rFonts w:ascii="Times New Roman" w:hAnsi="Times New Roman" w:cs="Times New Roman"/>
                <w:b/>
                <w:i/>
                <w:sz w:val="20"/>
                <w:szCs w:val="20"/>
              </w:rPr>
              <w:t xml:space="preserve">» </w:t>
            </w:r>
            <w:r w:rsidR="0052189B">
              <w:rPr>
                <w:rFonts w:ascii="Times New Roman" w:hAnsi="Times New Roman" w:cs="Times New Roman"/>
                <w:b/>
                <w:i/>
                <w:sz w:val="20"/>
                <w:szCs w:val="20"/>
              </w:rPr>
              <w:t>февраля</w:t>
            </w:r>
            <w:r w:rsidR="00364999">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7DC62880"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52189B">
              <w:rPr>
                <w:rFonts w:ascii="Times New Roman" w:hAnsi="Times New Roman" w:cs="Times New Roman"/>
                <w:b/>
                <w:i/>
                <w:sz w:val="20"/>
                <w:szCs w:val="20"/>
              </w:rPr>
              <w:t>20</w:t>
            </w:r>
            <w:r>
              <w:rPr>
                <w:rFonts w:ascii="Times New Roman" w:hAnsi="Times New Roman" w:cs="Times New Roman"/>
                <w:b/>
                <w:i/>
                <w:sz w:val="20"/>
                <w:szCs w:val="20"/>
              </w:rPr>
              <w:t xml:space="preserve">» </w:t>
            </w:r>
            <w:r w:rsidR="0052189B">
              <w:rPr>
                <w:rFonts w:ascii="Times New Roman" w:hAnsi="Times New Roman" w:cs="Times New Roman"/>
                <w:b/>
                <w:i/>
                <w:sz w:val="20"/>
                <w:szCs w:val="20"/>
              </w:rPr>
              <w:t>февраля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37AD49E2"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52189B">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52189B">
              <w:rPr>
                <w:rFonts w:ascii="Times New Roman" w:hAnsi="Times New Roman" w:cs="Times New Roman"/>
                <w:b/>
                <w:i/>
                <w:sz w:val="20"/>
                <w:szCs w:val="20"/>
              </w:rPr>
              <w:t>февраля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A44EE3">
              <w:rPr>
                <w:rFonts w:ascii="Times New Roman" w:hAnsi="Times New Roman" w:cs="Times New Roman"/>
                <w:b/>
                <w:i/>
                <w:sz w:val="20"/>
                <w:szCs w:val="20"/>
              </w:rPr>
              <w:t>0</w:t>
            </w:r>
            <w:r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013492"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086A36D4"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711B33">
              <w:rPr>
                <w:rFonts w:ascii="Times New Roman" w:eastAsia="Times New Roman" w:hAnsi="Times New Roman" w:cs="Times New Roman"/>
                <w:sz w:val="20"/>
                <w:szCs w:val="20"/>
              </w:rPr>
              <w:t>9</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582D81">
              <w:rPr>
                <w:rFonts w:ascii="Times New Roman" w:eastAsia="Times New Roman" w:hAnsi="Times New Roman" w:cs="Times New Roman"/>
                <w:sz w:val="20"/>
                <w:szCs w:val="20"/>
              </w:rPr>
              <w:t xml:space="preserve">по </w:t>
            </w:r>
            <w:r w:rsidR="00BE513C">
              <w:rPr>
                <w:rFonts w:ascii="Times New Roman" w:eastAsia="Times New Roman" w:hAnsi="Times New Roman" w:cs="Times New Roman"/>
                <w:sz w:val="20"/>
                <w:szCs w:val="20"/>
              </w:rPr>
              <w:t>1</w:t>
            </w:r>
            <w:r w:rsidR="00711B33">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02</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30AAC474"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8D41B9">
              <w:rPr>
                <w:rFonts w:ascii="Times New Roman" w:hAnsi="Times New Roman"/>
                <w:sz w:val="20"/>
                <w:szCs w:val="20"/>
              </w:rPr>
              <w:t>50400</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8D41B9">
              <w:rPr>
                <w:rFonts w:ascii="Times New Roman" w:hAnsi="Times New Roman"/>
                <w:sz w:val="20"/>
                <w:szCs w:val="20"/>
              </w:rPr>
              <w:t>пятьдесят тысяч четыреста</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кв.м.,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«Крымавтотранс»</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bookmarkStart w:id="5" w:name="_GoBack"/>
      <w:bookmarkEnd w:id="5"/>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0ACE8" w14:textId="77777777" w:rsidR="00574F27" w:rsidRDefault="00574F27" w:rsidP="006B5C6F">
      <w:pPr>
        <w:spacing w:after="0" w:line="240" w:lineRule="auto"/>
      </w:pPr>
      <w:r>
        <w:separator/>
      </w:r>
    </w:p>
  </w:endnote>
  <w:endnote w:type="continuationSeparator" w:id="0">
    <w:p w14:paraId="622B1EE7" w14:textId="77777777" w:rsidR="00574F27" w:rsidRDefault="00574F27"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E1B05" w14:textId="77777777" w:rsidR="00574F27" w:rsidRDefault="00574F27" w:rsidP="006B5C6F">
      <w:pPr>
        <w:spacing w:after="0" w:line="240" w:lineRule="auto"/>
      </w:pPr>
      <w:r>
        <w:separator/>
      </w:r>
    </w:p>
  </w:footnote>
  <w:footnote w:type="continuationSeparator" w:id="0">
    <w:p w14:paraId="270BC17A" w14:textId="77777777" w:rsidR="00574F27" w:rsidRDefault="00574F27"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013492" w:rsidRDefault="00013492">
        <w:pPr>
          <w:pStyle w:val="a7"/>
          <w:jc w:val="right"/>
        </w:pPr>
      </w:p>
      <w:p w14:paraId="16292481" w14:textId="77777777" w:rsidR="00013492" w:rsidRDefault="00013492">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013492" w:rsidRDefault="000134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74D67"/>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4F27"/>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12F"/>
    <w:rsid w:val="00622B55"/>
    <w:rsid w:val="00624D2D"/>
    <w:rsid w:val="006310B3"/>
    <w:rsid w:val="00631A3D"/>
    <w:rsid w:val="00631B94"/>
    <w:rsid w:val="00632734"/>
    <w:rsid w:val="00633601"/>
    <w:rsid w:val="0063503D"/>
    <w:rsid w:val="006365A9"/>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4B4F"/>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AD3"/>
    <w:rsid w:val="00803EBD"/>
    <w:rsid w:val="00804F74"/>
    <w:rsid w:val="0080688D"/>
    <w:rsid w:val="008105F2"/>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2969"/>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7AE7"/>
    <w:rsid w:val="00BA0739"/>
    <w:rsid w:val="00BB0096"/>
    <w:rsid w:val="00BC2967"/>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13583"/>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E41"/>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1643-2F83-4179-94C9-8A4E0429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10311</Words>
  <Characters>58773</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7</cp:revision>
  <cp:lastPrinted>2018-09-21T14:04:00Z</cp:lastPrinted>
  <dcterms:created xsi:type="dcterms:W3CDTF">2020-01-27T07:54:00Z</dcterms:created>
  <dcterms:modified xsi:type="dcterms:W3CDTF">2020-01-27T08:49:00Z</dcterms:modified>
</cp:coreProperties>
</file>